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8C3" w:rsidRDefault="00B7413E" w:rsidP="009D08C3">
      <w:pPr>
        <w:jc w:val="right"/>
        <w:rPr>
          <w:rFonts w:hAnsi="Times New Roman" w:cs="Times New Roman"/>
          <w:color w:val="000000"/>
          <w:sz w:val="24"/>
          <w:szCs w:val="24"/>
        </w:rPr>
      </w:pPr>
      <w:r w:rsidRPr="004C0BEF">
        <w:rPr>
          <w:rFonts w:hAnsi="Times New Roman" w:cs="Times New Roman"/>
          <w:color w:val="000000"/>
          <w:sz w:val="24"/>
          <w:szCs w:val="24"/>
        </w:rPr>
        <w:t>Приложение</w:t>
      </w:r>
      <w:r w:rsidRPr="004C0BEF">
        <w:rPr>
          <w:rFonts w:hAnsi="Times New Roman" w:cs="Times New Roman"/>
          <w:color w:val="000000"/>
          <w:sz w:val="24"/>
          <w:szCs w:val="24"/>
        </w:rPr>
        <w:t xml:space="preserve"> </w:t>
      </w:r>
      <w:r w:rsidR="00534FF5">
        <w:rPr>
          <w:rFonts w:hAnsi="Times New Roman" w:cs="Times New Roman"/>
          <w:color w:val="000000"/>
          <w:sz w:val="24"/>
          <w:szCs w:val="24"/>
        </w:rPr>
        <w:t>2</w:t>
      </w:r>
      <w:r w:rsidR="00CF7B94">
        <w:rPr>
          <w:rFonts w:hAnsi="Times New Roman" w:cs="Times New Roman"/>
          <w:color w:val="000000"/>
          <w:sz w:val="24"/>
          <w:szCs w:val="24"/>
        </w:rPr>
        <w:t>1</w:t>
      </w:r>
      <w:r w:rsidRPr="004C0BEF">
        <w:br/>
      </w:r>
      <w:r w:rsidRPr="004C0BEF">
        <w:rPr>
          <w:rFonts w:hAnsi="Times New Roman" w:cs="Times New Roman"/>
          <w:color w:val="000000"/>
          <w:sz w:val="24"/>
          <w:szCs w:val="24"/>
        </w:rPr>
        <w:t>к</w:t>
      </w:r>
      <w:r w:rsidRPr="004C0BEF">
        <w:rPr>
          <w:rFonts w:hAnsi="Times New Roman" w:cs="Times New Roman"/>
          <w:color w:val="000000"/>
          <w:sz w:val="24"/>
          <w:szCs w:val="24"/>
        </w:rPr>
        <w:t xml:space="preserve"> </w:t>
      </w:r>
      <w:r w:rsidRPr="004C0BEF">
        <w:rPr>
          <w:rFonts w:hAnsi="Times New Roman" w:cs="Times New Roman"/>
          <w:color w:val="000000"/>
          <w:sz w:val="24"/>
          <w:szCs w:val="24"/>
        </w:rPr>
        <w:t>приказу</w:t>
      </w:r>
      <w:r w:rsidRPr="004C0BEF">
        <w:rPr>
          <w:rFonts w:hAnsi="Times New Roman" w:cs="Times New Roman"/>
          <w:color w:val="000000"/>
          <w:sz w:val="24"/>
          <w:szCs w:val="24"/>
        </w:rPr>
        <w:t xml:space="preserve"> </w:t>
      </w:r>
      <w:r w:rsidRPr="004C0BEF">
        <w:rPr>
          <w:rFonts w:hAnsi="Times New Roman" w:cs="Times New Roman"/>
          <w:color w:val="000000"/>
          <w:sz w:val="24"/>
          <w:szCs w:val="24"/>
        </w:rPr>
        <w:t>от</w:t>
      </w:r>
      <w:r w:rsidRPr="004C0BEF">
        <w:rPr>
          <w:rFonts w:hAnsi="Times New Roman" w:cs="Times New Roman"/>
          <w:color w:val="000000"/>
          <w:sz w:val="24"/>
          <w:szCs w:val="24"/>
        </w:rPr>
        <w:t xml:space="preserve"> </w:t>
      </w:r>
      <w:r w:rsidR="009D08C3">
        <w:rPr>
          <w:rFonts w:hAnsi="Times New Roman" w:cs="Times New Roman"/>
          <w:color w:val="000000"/>
          <w:sz w:val="24"/>
          <w:szCs w:val="24"/>
        </w:rPr>
        <w:t>25.12.2023</w:t>
      </w:r>
      <w:r>
        <w:rPr>
          <w:rFonts w:hAnsi="Times New Roman" w:cs="Times New Roman"/>
          <w:color w:val="000000"/>
          <w:sz w:val="24"/>
          <w:szCs w:val="24"/>
        </w:rPr>
        <w:t> </w:t>
      </w:r>
      <w:r w:rsidRPr="004C0BEF">
        <w:rPr>
          <w:rFonts w:hAnsi="Times New Roman" w:cs="Times New Roman"/>
          <w:color w:val="000000"/>
          <w:sz w:val="24"/>
          <w:szCs w:val="24"/>
        </w:rPr>
        <w:t>№</w:t>
      </w:r>
      <w:r w:rsidRPr="004C0BEF">
        <w:rPr>
          <w:rFonts w:hAnsi="Times New Roman" w:cs="Times New Roman"/>
          <w:color w:val="000000"/>
          <w:sz w:val="24"/>
          <w:szCs w:val="24"/>
        </w:rPr>
        <w:t xml:space="preserve"> </w:t>
      </w:r>
      <w:r w:rsidR="009D08C3">
        <w:rPr>
          <w:rFonts w:hAnsi="Times New Roman" w:cs="Times New Roman"/>
          <w:color w:val="000000"/>
          <w:sz w:val="24"/>
          <w:szCs w:val="24"/>
        </w:rPr>
        <w:t>73</w:t>
      </w:r>
    </w:p>
    <w:p w:rsidR="00B7413E" w:rsidRDefault="00B7413E" w:rsidP="006A5159">
      <w:pPr>
        <w:pStyle w:val="a3"/>
        <w:shd w:val="clear" w:color="auto" w:fill="FFFFFF"/>
        <w:spacing w:before="0" w:beforeAutospacing="0" w:after="0" w:afterAutospacing="0"/>
        <w:jc w:val="center"/>
        <w:rPr>
          <w:rStyle w:val="a4"/>
          <w:rFonts w:ascii="Formular" w:hAnsi="Formular"/>
          <w:color w:val="2A3143"/>
        </w:rPr>
      </w:pPr>
    </w:p>
    <w:p w:rsidR="006A5159" w:rsidRDefault="006A5159" w:rsidP="006A5159">
      <w:pPr>
        <w:pStyle w:val="a3"/>
        <w:shd w:val="clear" w:color="auto" w:fill="FFFFFF"/>
        <w:spacing w:before="0" w:beforeAutospacing="0" w:after="0" w:afterAutospacing="0"/>
        <w:jc w:val="center"/>
        <w:rPr>
          <w:rStyle w:val="a4"/>
          <w:rFonts w:ascii="Formular" w:hAnsi="Formular"/>
          <w:color w:val="2A3143"/>
        </w:rPr>
      </w:pPr>
      <w:r>
        <w:rPr>
          <w:rStyle w:val="a4"/>
          <w:rFonts w:ascii="Formular" w:hAnsi="Formular"/>
          <w:color w:val="2A3143"/>
        </w:rPr>
        <w:t>ОБЩИЕ ТРЕБОВАНИЯ</w:t>
      </w:r>
      <w:r>
        <w:rPr>
          <w:rFonts w:ascii="Formular" w:hAnsi="Formular"/>
          <w:b/>
          <w:bCs/>
          <w:color w:val="2A3143"/>
        </w:rPr>
        <w:br/>
      </w:r>
      <w:r>
        <w:rPr>
          <w:rStyle w:val="a4"/>
          <w:rFonts w:ascii="Formular" w:hAnsi="Formular"/>
          <w:color w:val="2A3143"/>
        </w:rPr>
        <w:t xml:space="preserve">к графику документооборота и правилам документооборота </w:t>
      </w:r>
    </w:p>
    <w:p w:rsidR="006A5159" w:rsidRDefault="006A5159" w:rsidP="006A5159">
      <w:pPr>
        <w:pStyle w:val="a3"/>
        <w:shd w:val="clear" w:color="auto" w:fill="FFFFFF"/>
        <w:spacing w:before="0" w:beforeAutospacing="0" w:after="0" w:afterAutospacing="0"/>
        <w:jc w:val="center"/>
        <w:rPr>
          <w:rStyle w:val="a4"/>
          <w:rFonts w:ascii="Formular" w:hAnsi="Formular"/>
          <w:color w:val="2A3143"/>
        </w:rPr>
      </w:pPr>
      <w:r>
        <w:rPr>
          <w:rStyle w:val="a4"/>
          <w:rFonts w:ascii="Formular" w:hAnsi="Formular"/>
          <w:color w:val="2A3143"/>
        </w:rPr>
        <w:t>МБОУ «</w:t>
      </w:r>
      <w:r w:rsidR="009D08C3">
        <w:rPr>
          <w:rStyle w:val="a4"/>
          <w:rFonts w:ascii="Formular" w:hAnsi="Formular"/>
          <w:color w:val="2A3143"/>
        </w:rPr>
        <w:t>Иртовская ОШ</w:t>
      </w:r>
      <w:r>
        <w:rPr>
          <w:rStyle w:val="a4"/>
          <w:rFonts w:ascii="Formular" w:hAnsi="Formular"/>
          <w:color w:val="2A3143"/>
        </w:rPr>
        <w:t>»</w:t>
      </w:r>
    </w:p>
    <w:p w:rsidR="009D08C3" w:rsidRDefault="009D08C3" w:rsidP="006A5159">
      <w:pPr>
        <w:pStyle w:val="a3"/>
        <w:shd w:val="clear" w:color="auto" w:fill="FFFFFF"/>
        <w:spacing w:before="0" w:beforeAutospacing="0" w:after="0" w:afterAutospacing="0"/>
        <w:jc w:val="center"/>
        <w:rPr>
          <w:rFonts w:ascii="Formular" w:hAnsi="Formular"/>
          <w:color w:val="2A3143"/>
        </w:rPr>
      </w:pPr>
      <w:bookmarkStart w:id="0" w:name="_GoBack"/>
      <w:bookmarkEnd w:id="0"/>
    </w:p>
    <w:p w:rsidR="006A5159" w:rsidRDefault="006A5159" w:rsidP="006A5159">
      <w:pPr>
        <w:pStyle w:val="a3"/>
        <w:shd w:val="clear" w:color="auto" w:fill="FFFFFF"/>
        <w:spacing w:before="0" w:beforeAutospacing="0" w:after="0" w:afterAutospacing="0"/>
        <w:jc w:val="center"/>
        <w:rPr>
          <w:rFonts w:ascii="Formular" w:hAnsi="Formular"/>
          <w:color w:val="2A3143"/>
        </w:rPr>
      </w:pPr>
      <w:r>
        <w:rPr>
          <w:rStyle w:val="a4"/>
          <w:rFonts w:ascii="Formular" w:hAnsi="Formular"/>
          <w:color w:val="2A3143"/>
        </w:rPr>
        <w:t>I. Общие положения</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1. Настоящие общие требования устанавливаются в целях обеспечения единства системы требований к организации ведения бухгалтерского учета в части определения в рамках учетной политики графика документооборота, правил документооборота, включающих порядок, технологии и сроки составления, передачи (представления) для отражения в бухгалтерском учете первичных (сводных) учетных документов в соответствии с утвержденным графиком документооборота и (или) порядок взаимодействия структурных подразделений и (или) лиц, ответственных за оформление фактов хозяйственной жизни, при передаче (представлении) для ведения бухгалтерского учета первичных учетных (сводных) документов.</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Под документами бухгалтерского учета в целях настоящих общих требований понимаются первичные учетные документы, регистры бухгалтерского учета, бухгалтерская (финансовая) отчетность (включая документы, оформляющие информацию, отражаемую в составе пояснительной записки, представляемой в составе бухгалтерской (финансовой) отчетности), а также документы, сформированные в целях представления отраженных в регистрах бухгалтерского учета данных об объектах бухгалтерского учета заинтересованным лицам для принятия управленческих решений.</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В случае если в соответствии с законодательством Российской Федерации первичные учетные документы, в том числе в виде электронного документа, изымаются, надлежаще заверенные копии изъятых документов включаются в документы бухгалтерского учета.</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Под документооборотом в бухгалтерском учете понимается движение документов бухгалтерского учета в целях ведения бухгалтерского учета, включая составление и представление бухгалтерской (финансовой) отчетности, в субъекте учета (в рамках взаимодействия структурных подразделений субъекта учета и (или) лиц, ответственных за оформление фактов хозяйственной жизни, по предоставлению первичных учетных документов для ведения бухгалтерского учета, а также лиц, осуществляющих ведение бухгалтерского учета, составление и представление бухгалтерской (финансовой) отчетности, в том числе в случае, если ведение бухгалтерского учета и (или) составление бухгалтерской (финансовой) отчетности передано в соответствии с законодательством Российской Федерации иному учреждению (централизованной бухгалтерии), а также в структурных подразделениях централизованной бухгалтерии, или между субъектом учета и централизованной бухгалтерией с момента составления документов бухгалтерского учета до помещения их в архив по завершению использования для целей ведения бухгалтерского учета, составления бухгалтерской (финансовой) отчетности.</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 xml:space="preserve">Организация документооборота в бухгалтерском учете осуществляется руководителем субъекта учета согласно утвержденному в рамках учетной политики графику документооборота и правилам документооборота, предусматривающим обязанность ответственных за оформление совершаемых фактов хозяйственной жизни лиц составлять первичные (сводные) учетные документы, порядок, технологию и сроки составления, </w:t>
      </w:r>
      <w:r>
        <w:rPr>
          <w:rFonts w:ascii="Formular" w:hAnsi="Formular"/>
          <w:color w:val="2A3143"/>
        </w:rPr>
        <w:lastRenderedPageBreak/>
        <w:t>передачи (предоставления) первичных (сводных) учетных документов для отражения их в бухгалтерском учете, а также порядок организации и обеспечения (осуществления) внутреннего контроля совершаемых фактов хозяйственной жизни.</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Своевременное и качественное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лица, ответственные за оформление факта хозяйственной жизни и (или) подписавшие эти документы.</w:t>
      </w:r>
    </w:p>
    <w:p w:rsidR="006A5159" w:rsidRDefault="006A5159" w:rsidP="006A5159">
      <w:pPr>
        <w:pStyle w:val="a3"/>
        <w:shd w:val="clear" w:color="auto" w:fill="FFFFFF"/>
        <w:spacing w:before="0" w:beforeAutospacing="0" w:after="0" w:afterAutospacing="0"/>
        <w:jc w:val="center"/>
        <w:rPr>
          <w:rFonts w:ascii="Formular" w:hAnsi="Formular"/>
          <w:color w:val="2A3143"/>
        </w:rPr>
      </w:pPr>
      <w:r>
        <w:rPr>
          <w:rStyle w:val="a4"/>
          <w:rFonts w:ascii="Formular" w:hAnsi="Formular"/>
          <w:color w:val="2A3143"/>
        </w:rPr>
        <w:t>II. Требования к графику документооборота</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2. График документооборота утверждается руководителем субъекта учета в целях обеспечения документооборота в бухгалтерском учете, недопущения нарушений, связанных с ведением бухгалтерского учета, а также в целях составления бухгалтерской (финансовой) отчетности, своевременного и полного отражения в бухгалтерском учете и (или) в бухгалтерской (финансовой) отчетности информации в денежном выражении о состоянии финансовых и нефинансовых активов и обязательств  муниципального учреждения, об операциях, изменяющих указанные активы и обязательства, а также иной информации, раскрываемой в бухгалтерской (финансовой) отчетности.</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3. График документооборота утверждается с учетом правил документооборота субъекта учета, порядка, технологии и сроков составления, передачи (предоставления) первичных (сводных) учетных документов для их отражения в бухгалтерском учете.</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4. График документооборота по каждому документу, представляемому для целей ведения бухгалтерского учета, составления бухгалтерской (финансовой) отчетности, должен содержать следующие сведения:</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а) наименование документа;</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б) вид представляемого документа: электронный, электронный образ бумажного документа с приложением электронной копии документа (скан-копии) или на бумажном носителе;</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 xml:space="preserve">в) информацию о составлении документа, в части информации о формировании реквизитов документа, сведения о которых отражены в регистрах бухгалтерского учета (далее – </w:t>
      </w:r>
      <w:proofErr w:type="spellStart"/>
      <w:r>
        <w:rPr>
          <w:rFonts w:ascii="Formular" w:hAnsi="Formular"/>
          <w:color w:val="2A3143"/>
        </w:rPr>
        <w:t>предзаполненный</w:t>
      </w:r>
      <w:proofErr w:type="spellEnd"/>
      <w:r>
        <w:rPr>
          <w:rFonts w:ascii="Formular" w:hAnsi="Formular"/>
          <w:color w:val="2A3143"/>
        </w:rPr>
        <w:t xml:space="preserve"> документ), с указанием:</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структурного подразделения, осуществляющего ведение бухгалтерского учета (централизованной бухгалтерии) и должности лица, ответственного за формирование таких реквизитов в документе;</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сроков отражения указанных реквизитов;</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 xml:space="preserve">порядка передачи </w:t>
      </w:r>
      <w:proofErr w:type="spellStart"/>
      <w:r>
        <w:rPr>
          <w:rFonts w:ascii="Formular" w:hAnsi="Formular"/>
          <w:color w:val="2A3143"/>
        </w:rPr>
        <w:t>предзаполненного</w:t>
      </w:r>
      <w:proofErr w:type="spellEnd"/>
      <w:r>
        <w:rPr>
          <w:rFonts w:ascii="Formular" w:hAnsi="Formular"/>
          <w:color w:val="2A3143"/>
        </w:rPr>
        <w:t xml:space="preserve"> документа (в рамках электронного документооборота и (или) программными средствами автоматизированного ведения бухгалтерского учета, иными информационными ресурсами (с указанием наименования ресурса (информационной системы (подсистемы) (далее – цифровой способ предоставления) или направлением документа на бумажном носителе) лицу, осуществляющему оформление факта хозяйственной жизни (составление бухгалтерской (финансовой) отчетности);</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lastRenderedPageBreak/>
        <w:t>г) информацию о составлении документа в целях оформления факта хозяйственной жизни (составления бухгалтерской (финансовой) отчетности) с указанием:</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структурного подразделения, ответственного за осуществление факта хозяйственной жизни (должности лица, ответственного за оформление факта хозяйственной жизни);</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сроков составления документа, с учетом мероприятий внутреннего контроля совершаемых фактов хозяйственной жизни (в том числе цифровыми методами) за правильностью составления документа (полнотой, корректностью отражения реквизитов документа, согласования документа) и подписания документа;</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должностных лиц, подписывающих документ и (или) информацию;</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д) порядок представления документа с указанием:</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способа представления документа (цифровой способ предоставления или на бумажном носителе);</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структурного подразделения, осуществляющего ведение бухгалтерского учета (централизованной бухгалтерии), и должности лица, осуществляющего ведение бухгалтерского учета, составление бухгалтерской (финансовой) отчетности;</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е) порядок отражения бухгалтерией первичного учетного документа в бухгалтерском учете, включая:</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способ отражения первичного учетного документа в бухгалтерском учете;</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срок проверки документа и его отражения в бухгалтерском учете, с учетом сроков обработки (преобразования) представленной информации, квалификации факта хозяйственной жизни, определения бухгалтерской корреспонденции, необходимой для отражения документа, формирования регистра бухгалтерского документа (при необходимости);</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срок направления (при необходимости) уведомления о результатах внутреннего контроля совершаемых фактов хозяйственной жизни и (или) направления в целях обеспечения полноты отражения в бухгалтерском учете фактов хозяйственной жизни требования о представления дополнительных документов (информации, пояснений), в том числе в случае выявления фактов, указывающих на наличие ошибки в связи с непередачей либо несвоевременной передачей первичных учетных документов для регистрации содержащихся в них данных в регистрах бухгалтерского учета;</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сроки представления запрашиваемых бухгалтерией дополнительных документов (информации, пояснений);</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 xml:space="preserve">ж) порядок представления данных бухгалтерского учета, сформированных в регистрах бухгалтерского учета и (или) данных бухгалтерской (финансовой) отчетности, представленной субъекту консолидированной отчетности, в целях составления субъектом учета документов бухгалтерского учета, иных документов, формируемых в рамках осуществления субъектом учета своей деятельности (в частности, отчетов о расходовании </w:t>
      </w:r>
      <w:r>
        <w:rPr>
          <w:rFonts w:ascii="Formular" w:hAnsi="Formular"/>
          <w:color w:val="2A3143"/>
        </w:rPr>
        <w:lastRenderedPageBreak/>
        <w:t>межбюджетных трансфертов (целевых субсидий), отчетов о выполнении государственного задания, статистических отчетов), либо принятия заинтересованными лицами управленческих решений, в том числе в целях подтверждения обоснованности принятия решения о списании государственного (муниципального) имущества, решения о признании безнадежной к взысканию задолженности, решения о предоставлении (выделении) финансового обеспечения.</w:t>
      </w:r>
    </w:p>
    <w:p w:rsidR="006A5159" w:rsidRDefault="006A5159" w:rsidP="006A5159">
      <w:pPr>
        <w:pStyle w:val="a3"/>
        <w:shd w:val="clear" w:color="auto" w:fill="FFFFFF"/>
        <w:spacing w:before="0" w:beforeAutospacing="0" w:after="0" w:afterAutospacing="0"/>
        <w:jc w:val="center"/>
        <w:rPr>
          <w:rFonts w:ascii="Formular" w:hAnsi="Formular"/>
          <w:color w:val="2A3143"/>
        </w:rPr>
      </w:pPr>
      <w:r>
        <w:rPr>
          <w:rStyle w:val="a4"/>
          <w:rFonts w:ascii="Formular" w:hAnsi="Formular"/>
          <w:color w:val="2A3143"/>
        </w:rPr>
        <w:t>III. Требования к правилам документооборота</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5. Организация документооборота в бухгалтерском учете должна обеспечивать реализацию следующих целей:</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соблюдение правил документооборота, в том числе порядка и сроков передачи (представления) в соответствии с утвержденным графиком документооборота первичных (сводных) учетных документов для отражения их в бухгалтерском учете;</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своевременное отражение объектов бухгалтерского учета в бухгалтерском учете и (или) бухгалтерской (финансовой) отчетности, в том числе передачу первичных учетных документов для регистрации содержащихся в них данных в регистрах бухгалтерского учета и составление на их основе бухгалтерской (финансовой) отчетности;</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своевременное предоставление данных бухгалтерского учета и (или) бухгалтерской (финансовой) отчетности, необходимых для осуществления субъектом учета своей деятельности;</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сохранность документов бухгалтерского учета, предотвращение несанкционированного доступа к ним и недопущения необоснованного внесения в них изменений (изъятий документов).</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6. Правила документооборота должны предусматривать:</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а) применение унифицированных форм документов, единых регламентов их составления, представления и обработки;</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б) использование единых справочников (баз данных, классификаторов, перечней) данных, отражаемых в первичных учетных документах в составе обязательных реквизитов, или порядок составления первичных учетных документов с использованием справочников, применяемых при ведении бухгалтерского учета для обобщения и систематизации данных об объектах бухгалтерского учета и изменяющих операций;</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в) обеспечение однократности ввода информации при формировании документов и исключение дублирования процедур сбора информации;</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г) обеспечение соблюдения требований законодательства Российской Федерации о защите персональных данных, а также сведений, составляющих государственную тайну и иную информацию, охраняемую законом;</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 xml:space="preserve">д) информационную совместимость государственных (муниципальных) информационных систем и информационных ресурсов, средствами которых осуществляется формирование </w:t>
      </w:r>
      <w:r>
        <w:rPr>
          <w:rFonts w:ascii="Formular" w:hAnsi="Formular"/>
          <w:color w:val="2A3143"/>
        </w:rPr>
        <w:lastRenderedPageBreak/>
        <w:t>и обмен информацией и документами в электронном виде (в форме электронных документов);</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е) обеспечения разграничения ответственности между лицами, ответственными за оформление совершаемых фактов хозяйственной жизни, составление и (или) представление документов бухгалтерского учета и лицами, на которых возложены полномочия по ведению бухгалтерского учета и (или) составления и представления бухгалтерской (финансовой) отчетности;</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ж) обязанность ответственных за оформление совершаемых фактов хозяйственной жизни лиц составлять первичные (сводные) учетные документы, порядок, технологию и сроки составления, передачи (предоставления) первичных (сводных) учетных документов для отражения их в бухгалтерском учете;</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з) порядок организации и обеспечения (осуществления) внутреннего контроля совершаемых фактов хозяйственной жизни в целях обеспечения предоставления для отражения в бухгалтерском учете достоверной информации;</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и) иные положения, обеспечивающие реализацию целей, предусмотренных пунктом 5 настоящих общих требований.</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7. Правилами документооборота обеспечивается выполнение следующих обязательных условий формирования, передачи (представления) первичного учетного документа и его принятия к бухгалтерскому учету.</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Документы составляются с учетом требований нормативных правовых актов, регулирующих ведение бухгалтерского учета и составление бухгалтерской (финансовой) отчетности, предусматривающих отражение обязательных реквизитов и применение унифицированных форм бухгалтерских документов.</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Документы бухгалтерского учета, формируемые субъектом учета, составляются на русском языке.</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В случае если законодательство или правила страны пребывания (места ведения деятельности) субъекта учета за пределами Российской Федерации требуют составления документов бухгалтерского учета на языке страны пребывания (иностранном языке), то документы, составленные на соответствующем иностранном языке, представляются для целей ведения бухгалтерского учета с обязательным приложением построчного перевода на русский язык.</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При составлении первичного учетного документа обеспечивается отражение даты, иных реквизитов, позволяющих идентифицировать данный документ в системе документооборота для бухгалтерского учета, в период его составления до подписания ответственным лицом (ответственными лицами), совершившим факт хозяйственной жизни, оформляемый таким первичным учетным документом.</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 xml:space="preserve">В случае если дата составления первичного учетного документа и (или) дата подписания документа отличается от даты (периода) совершения факта хозяйственной жизни, оформляемого этим первичным учетным документом, в составе обязательных реквизитов </w:t>
      </w:r>
      <w:r>
        <w:rPr>
          <w:rFonts w:ascii="Formular" w:hAnsi="Formular"/>
          <w:color w:val="2A3143"/>
        </w:rPr>
        <w:lastRenderedPageBreak/>
        <w:t>такого документа отражается информация о дате (периоде) совершения факта хозяйственной жизни.</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В случае включения в первичный учетный документ обязательных реквизитов на основании другого документа, содержащего информацию о факте хозяйственной жизни, или документа, подтверждающего иное событие, предшествующее факту хозяйственной жизни или являющееся основанием для совершения факта хозяйственной жизни (далее – документ-основание), указывается информация, позволяющая идентифицировать соответствующий документ-основание.</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8. Перечень лиц, имеющих право подписания документов бухгалтерского учета, устанавливается руководителем субъекта учета.</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лица, составившие и подписавшие указанные документы.</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9. Согласно утвержденным субъектом учета правилам документооборота или порядком взаимодействия структурных подразделений субъекта учета и (или) лиц, ответственных за оформление фактов хозяйственной жизни, по предоставлению первичных учетных документов для ведения бухгалтерского учета), и (или) лиц, осуществляющих ведение бухгалтерского учета, составление и представление бухгалтерской (финансовой) отчетности, в том числе в случае, если ведение бухгалтерского учета и (или) составление бухгалтерской (финансовой) отчетности передано в соответствии с законодательством Российской Федерации иному учреждению (централизованной бухгалтерии) (далее – порядок взаимодействия при документообороте для бухгалтерского учета) допускается оформление:</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а) одного первичного учетного документа при осуществлении нескольких связанных между собой фактов хозяйственной жизни;</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б) первичных учетных документов с периодичностью, определенной правилами документооборота (порядком взаимодействия при документообороте для бухгалтерского учета), исходя из существа факта хозяйственной жизни и обеспечения достоверности отражаемой в документе информации (например, сутки, неделя, месяц, квартал), при условии их составления на отчетную дату;</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в) одним первичным учетным документом (ведомостью) совокупность однотипных фактов хозяйственной жизни по разным контрагентам (например, ведомостью начисления доходов, ведомостью предоставления в прокат имущества, ведомостью начисления обязательств).</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10. Правилами документооборота возможно предусматривать для различных групп документов бухгалтерского учета (обстоятельств их составления, представления) различные способы их формирования:</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 xml:space="preserve">а) собственноручно – документ составляется лицом, ответственным за совершение факта хозяйственной жизни, на бумажном носителе средствами, обеспечивающими сохранность </w:t>
      </w:r>
      <w:r>
        <w:rPr>
          <w:rFonts w:ascii="Formular" w:hAnsi="Formular"/>
          <w:color w:val="2A3143"/>
        </w:rPr>
        <w:lastRenderedPageBreak/>
        <w:t>этих записей в течение срока хранения документов (в частности, краской, чернилами, шариковой ручкой);</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б) автоматически (полуавтоматически) – документ составляется с применением программных средств посредством формирования электронного образа бумажного документа, содержащего обязательные реквизиты, предусмотренные формой документа и собственноручного подписания документа на бумажном носителе;</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в) электронный (цифровой) способ – документ составляется с применением программных средств посредством формирования электронного документа, подписываемого электронными подписями. При составлении документов бухгалтерского учета в виде электронных документов правилами документооборота определяется порядок изготовления копий таких документов на бумажном носителе.</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11. В случае если законодательством Российской Федерации или договором предусмотрено представление сформированных в электронной форме первичного учетного документа, регистра бухгалтерского учета другому лицу или в государственный орган на бумажном носителе, субъект учета обязан по требованию другого лица или государственного органа за свой счет изготавливать на бумажном носителе электронные копии первичного учетного документа, регистра бухгалтерского учета.</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12. В случае если при межведомственном обмене информацией в форме электронных документов, в том числе при осуществлении централизуемых полномочий, предусмотрена передача скан-копий первичных учетных документов, содержащих собственноручные подписи (сформированных на бумажном носителе), ответственность за соответствие скан-копии подлиннику документа возлагается на лицо, ответственное за оформление указанным документом факта хозяйственной жизни и (или) за формирование и (или) передачу такой скан-копии. Передача скан-копии первичного учетного документа осуществляется при условии ее подписания электронной цифровой подписью должностным лицом, ответственным за соответствие такой скан-копии подлиннику документа.</w:t>
      </w:r>
    </w:p>
    <w:p w:rsidR="006A5159" w:rsidRDefault="006A5159" w:rsidP="006A5159">
      <w:pPr>
        <w:pStyle w:val="a3"/>
        <w:shd w:val="clear" w:color="auto" w:fill="FFFFFF"/>
        <w:spacing w:before="0" w:beforeAutospacing="0" w:after="0" w:afterAutospacing="0"/>
        <w:jc w:val="center"/>
        <w:rPr>
          <w:rFonts w:ascii="Formular" w:hAnsi="Formular"/>
          <w:color w:val="2A3143"/>
        </w:rPr>
      </w:pPr>
      <w:r>
        <w:rPr>
          <w:rStyle w:val="a4"/>
          <w:rFonts w:ascii="Formular" w:hAnsi="Formular"/>
          <w:color w:val="2A3143"/>
        </w:rPr>
        <w:t>IV. Особенности формирования регистров бухгалтерского учета</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13. Формирование регистров бухгалтерского учета на иностранном языке не допускается.</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Правила документооборота могут предусматривать предоставление информации по данным бухгалтерского учета (данным, отраженным в регистрах бухгалтерского учета) на иностранном языке, при условии включения в состав документов бухгалтерского учета документа, содержащего построчный перевод на русском языке представленной информации, или информации о представлении соответствующих данных на иностранном языке.</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14. Величина денежного измерения объектов бухгалтерского учета записывается в регистрах бухгалтерского учета в валюте Российской Федерации (рубль) независимо от валюты факта хозяйственной жизни.</w:t>
      </w:r>
    </w:p>
    <w:p w:rsidR="006A5159" w:rsidRDefault="006A5159" w:rsidP="009D08C3">
      <w:pPr>
        <w:pStyle w:val="a3"/>
        <w:shd w:val="clear" w:color="auto" w:fill="FFFFFF"/>
        <w:spacing w:before="0" w:beforeAutospacing="0" w:after="360" w:afterAutospacing="0"/>
        <w:jc w:val="both"/>
        <w:rPr>
          <w:rFonts w:ascii="Formular" w:hAnsi="Formular"/>
          <w:color w:val="2A3143"/>
        </w:rPr>
      </w:pPr>
      <w:r>
        <w:rPr>
          <w:rFonts w:ascii="Formular" w:hAnsi="Formular"/>
          <w:color w:val="2A3143"/>
        </w:rPr>
        <w:t xml:space="preserve">Информация о величине денежного измерения объекта бухгалтерского учета, стоимость которого выражена в иностранной валюте или в драгоценных металлах, а также об операциях об изменении такой величины (увеличении, уменьшении) записывается в </w:t>
      </w:r>
      <w:r>
        <w:rPr>
          <w:rFonts w:ascii="Formular" w:hAnsi="Formular"/>
          <w:color w:val="2A3143"/>
        </w:rPr>
        <w:lastRenderedPageBreak/>
        <w:t>регистрах бухгалтерского учета одновременно в рублях (рублевом эквиваленте) и в иностранной валюте (драгоценных металлах).».</w:t>
      </w:r>
    </w:p>
    <w:p w:rsidR="00AA3703" w:rsidRDefault="00AA3703"/>
    <w:sectPr w:rsidR="00AA3703" w:rsidSect="00F249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Formular">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A3425"/>
    <w:rsid w:val="0003663E"/>
    <w:rsid w:val="000A3425"/>
    <w:rsid w:val="001D206C"/>
    <w:rsid w:val="00534FF5"/>
    <w:rsid w:val="006A5159"/>
    <w:rsid w:val="009D08C3"/>
    <w:rsid w:val="00AA3703"/>
    <w:rsid w:val="00B7413E"/>
    <w:rsid w:val="00CF7B94"/>
    <w:rsid w:val="00F249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9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A51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A5159"/>
    <w:rPr>
      <w:b/>
      <w:bCs/>
    </w:rPr>
  </w:style>
</w:styles>
</file>

<file path=word/webSettings.xml><?xml version="1.0" encoding="utf-8"?>
<w:webSettings xmlns:r="http://schemas.openxmlformats.org/officeDocument/2006/relationships" xmlns:w="http://schemas.openxmlformats.org/wordprocessingml/2006/main">
  <w:divs>
    <w:div w:id="99565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2867</Words>
  <Characters>16342</Characters>
  <Application>Microsoft Office Word</Application>
  <DocSecurity>0</DocSecurity>
  <Lines>136</Lines>
  <Paragraphs>38</Paragraphs>
  <ScaleCrop>false</ScaleCrop>
  <Company/>
  <LinksUpToDate>false</LinksUpToDate>
  <CharactersWithSpaces>19171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Пепеляева</dc:creator>
  <cp:keywords/>
  <dc:description/>
  <cp:lastModifiedBy>Пользователь</cp:lastModifiedBy>
  <cp:revision>10</cp:revision>
  <dcterms:created xsi:type="dcterms:W3CDTF">2024-03-25T18:55:00Z</dcterms:created>
  <dcterms:modified xsi:type="dcterms:W3CDTF">2024-03-29T06:11:00Z</dcterms:modified>
</cp:coreProperties>
</file>